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2.png" ContentType="image/png"/>
  <Override PartName="/word/media/rId56.png" ContentType="image/png"/>
  <Override PartName="/word/media/rId93.png" ContentType="image/png"/>
  <Override PartName="/word/media/rId104.png" ContentType="image/png"/>
  <Override PartName="/word/media/rId99.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34.0314136%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w:t>
      </w:r>
      <w:r>
        <w:t xml:space="preserve"> </w:t>
      </w:r>
      <w:r>
        <w:rPr>
          <w:bCs/>
          <w:b/>
        </w:rPr>
        <w:t xml:space="preserve">Pierce2021?</w:t>
      </w:r>
      <w:r>
        <w:t xml:space="preserve">)</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37.9815271</w:t>
      </w:r>
      <w:r>
        <w:t xml:space="preserve"> </w:t>
      </w:r>
      <m:oMath>
        <m:r>
          <m:rPr>
            <m:sty m:val="p"/>
          </m:rPr>
          <m:t>±</m:t>
        </m:r>
      </m:oMath>
      <w:r>
        <w:t xml:space="preserve"> </w:t>
      </w:r>
      <w:r>
        <w:t xml:space="preserve">45.1903321 days), and terrestrial ectotherms were acclimated for a much shorter duration (mean (SD) = 23.5284553</w:t>
      </w:r>
      <w:r>
        <w:t xml:space="preserve"> </w:t>
      </w:r>
      <m:oMath>
        <m:r>
          <m:rPr>
            <m:sty m:val="p"/>
          </m:rPr>
          <m:t>±</m:t>
        </m:r>
      </m:oMath>
      <w:r>
        <w:t xml:space="preserve"> </w:t>
      </w:r>
      <w:r>
        <w:t xml:space="preserve">15.5570474, n = 125) than both freshwater (mean (SD) = 36.8087167</w:t>
      </w:r>
      <w:r>
        <w:t xml:space="preserve"> </w:t>
      </w:r>
      <m:oMath>
        <m:r>
          <m:rPr>
            <m:sty m:val="p"/>
          </m:rPr>
          <m:t>±</m:t>
        </m:r>
      </m:oMath>
      <w:r>
        <w:t xml:space="preserve"> </w:t>
      </w:r>
      <w:r>
        <w:t xml:space="preserve">28.7077629, n = 430) and marine species (mean (SD) = 46.1775362</w:t>
      </w:r>
      <w:r>
        <w:t xml:space="preserve"> </w:t>
      </w:r>
      <m:oMath>
        <m:r>
          <m:rPr>
            <m:sty m:val="p"/>
          </m:rPr>
          <m:t>±</m:t>
        </m:r>
      </m:oMath>
      <w:r>
        <w:t xml:space="preserve"> </w:t>
      </w:r>
      <w:r>
        <w:t xml:space="preserve">67.2126693,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37.9815271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 and publication year</w:t>
      </w:r>
      <w:r>
        <w:t xml:space="preserve"> </w:t>
      </w:r>
      <w:r>
        <w:t xml:space="preserve">(Nakagawa</w:t>
      </w:r>
      <w:r>
        <w:t xml:space="preserve"> </w:t>
      </w:r>
      <w:r>
        <w:rPr>
          <w:iCs/>
          <w:i/>
        </w:rPr>
        <w:t xml:space="preserve">et al.</w:t>
      </w:r>
      <w:r>
        <w:t xml:space="preserve"> </w:t>
      </w:r>
      <w:r>
        <w:t xml:space="preserve">2022)</w:t>
      </w:r>
      <w:r>
        <w:t xml:space="preserve">. Funnel plot asymetry may suggest a form of publication called a</w:t>
      </w:r>
      <w:r>
        <w:t xml:space="preserve"> </w:t>
      </w:r>
      <w:r>
        <w:t xml:space="preserve">‘</w:t>
      </w:r>
      <w:r>
        <w:t xml:space="preserve">file-drawer</w:t>
      </w:r>
      <w:r>
        <w:t xml:space="preserve">’</w:t>
      </w:r>
      <w:r>
        <w:t xml:space="preserve"> </w:t>
      </w:r>
      <w:r>
        <w:t xml:space="preserve">effect whereby low-powered studies are less likely to be published. However, asymetry can also result form high hetereogenity. As such, testing (and correcting) for publication bias using a meta-regression approach can attempt to counteract bias that maybe driven by high effect hetereogneity. In addition, a second form of publication bias, time-lag bias, is very common, whereby effect magnitude declines through time with the publication of more studies, often of higher power</w:t>
      </w:r>
      <w:r>
        <w:t xml:space="preserve"> </w:t>
      </w:r>
      <w:r>
        <w:t xml:space="preserve">(Yang</w:t>
      </w:r>
      <w:r>
        <w:t xml:space="preserve"> </w:t>
      </w:r>
      <w:r>
        <w:rPr>
          <w:iCs/>
          <w:i/>
        </w:rPr>
        <w:t xml:space="preserve">et al.</w:t>
      </w:r>
      <w:r>
        <w:t xml:space="preserve"> </w:t>
      </w:r>
      <w:r>
        <w:t xml:space="preserve">2023)</w:t>
      </w:r>
      <w:r>
        <w:t xml:space="preserve">.</w:t>
      </w:r>
    </w:p>
    <w:bookmarkEnd w:id="40"/>
    <w:bookmarkEnd w:id="41"/>
    <w:bookmarkStart w:id="6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0.0692282, 95% CI: 0.0352333 to 0.1032231,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0"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7.942601% across all habitats (95%CI: 4.7858502 to 11.2428758%).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10.1151427% (95% CI: 6.0391131 to 14.1246045) in freshwater and 9.2635907% (95% CI: 2.6165698 to 15.7998426) in marine environments. In contrast, terrestrial ectotherms showed no acclimation (possibly even inverse acclimation) – showing a 4.4490697%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0.1937765 to 11.4392369,</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0.0692282, 95% CI: 0.0352333 to 0.1032231, p &lt; 0.0001), acclimatization is not likely going to provide adaptive benefits under climate change. Effect heterogeneity was nontheless high (only 2.4567861% of the variance was the resulting of sampling varianbility, 95% CI: 2.115129 to 2.816976%), with most variance being explained by the specific study and type of trait (Study: 25.7070088% , 95% CI: 17.8212054 to 34.1892961%; Trait Type: 26.6059596% , 95% CI: 17.6791952 to 36.4331332%). Evolutionary and species specific ecoloogy explained little variation in acute and acclimation repsonses (Species: 2.1520592% , 95% CI: 0.0055942 to 7.3541955%; Phylogeny: 1.9970864% , 95% CI: 0.0020731 to 9.9893018%)</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bookmarkEnd w:id="50"/>
    <w:bookmarkStart w:id="51"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27.9777914% (95% CI: 11.2961591 to 40.5571113,</w:t>
      </w:r>
      <w:r>
        <w:t xml:space="preserve"> </w:t>
      </w:r>
      <m:oMath>
        <m:sSub>
          <m:e>
            <m:r>
              <m:t>p</m:t>
            </m:r>
          </m:e>
          <m:sub>
            <m:r>
              <m:t>m</m:t>
            </m:r>
            <m:r>
              <m:t>c</m:t>
            </m:r>
            <m:r>
              <m:t>m</m:t>
            </m:r>
            <m:r>
              <m:t>c</m:t>
            </m:r>
          </m:sub>
        </m:sSub>
      </m:oMath>
      <w:r>
        <w:t xml:space="preserve"> </w:t>
      </w:r>
      <w:r>
        <w:t xml:space="preserve">= 0.004375) reduction in variation in physiological rates for terrestrial ectotherms and a 15.4702285% (95% CI: 1.8479339 to 30.2703763,</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(8.4478066%, 95% CI: 0.5498818 to 21.4117925,</w:t>
      </w:r>
      <w:r>
        <w:t xml:space="preserve"> </w:t>
      </w:r>
      <m:oMath>
        <m:sSub>
          <m:e>
            <m:r>
              <m:t>p</m:t>
            </m:r>
          </m:e>
          <m:sub>
            <m:r>
              <m:t>m</m:t>
            </m:r>
            <m:r>
              <m:t>c</m:t>
            </m:r>
            <m:r>
              <m:t>m</m:t>
            </m:r>
            <m:r>
              <m:t>c</m:t>
            </m:r>
          </m:sub>
        </m:sSub>
      </m:oMath>
      <w:r>
        <w:t xml:space="preserve"> </w:t>
      </w:r>
      <w:r>
        <w:t xml:space="preserve">= 0.3075).</w:t>
      </w:r>
    </w:p>
    <w:bookmarkEnd w:id="51"/>
    <w:bookmarkStart w:id="60"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5" w:name="fig-fig8"/>
          <w:p>
            <w:pPr>
              <w:pStyle w:val="Figure"/>
              <w:jc w:val="center"/>
            </w:pPr>
            <w:r>
              <w:drawing>
                <wp:inline>
                  <wp:extent cx="6680200" cy="7087529"/>
                  <wp:effectExtent b="0" l="0" r="0" t="0"/>
                  <wp:docPr descr="" title="" id="53" name="Picture"/>
                  <a:graphic>
                    <a:graphicData uri="http://schemas.openxmlformats.org/drawingml/2006/picture">
                      <pic:pic>
                        <pic:nvPicPr>
                          <pic:cNvPr descr="ms_files/figure-docx/fig-fig8-1.png" id="54" name="Picture"/>
                          <pic:cNvPicPr>
                            <a:picLocks noChangeArrowheads="1" noChangeAspect="1"/>
                          </pic:cNvPicPr>
                        </pic:nvPicPr>
                        <pic:blipFill>
                          <a:blip r:embed="rId5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 w:name="fig-fig9"/>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fig9-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59"/>
        </w:tc>
      </w:tr>
    </w:tbl>
    <w:bookmarkEnd w:id="60"/>
    <w:bookmarkEnd w:id="61"/>
    <w:bookmarkStart w:id="6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2"/>
    <w:bookmarkStart w:id="92" w:name="references"/>
    <w:p>
      <w:pPr>
        <w:pStyle w:val="Heading2"/>
      </w:pPr>
      <w:r>
        <w:t xml:space="preserve">References</w:t>
      </w:r>
    </w:p>
    <w:p>
      <w:pPr>
        <w:pStyle w:val="FirstParagraph"/>
      </w:pPr>
    </w:p>
    <w:bookmarkStart w:id="91" w:name="refs"/>
    <w:bookmarkStart w:id="6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3"/>
    <w:bookmarkStart w:id="6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4"/>
    <w:bookmarkStart w:id="6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5"/>
    <w:bookmarkStart w:id="6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6"/>
    <w:bookmarkStart w:id="6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7"/>
    <w:bookmarkStart w:id="6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8"/>
    <w:bookmarkStart w:id="6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69"/>
    <w:bookmarkStart w:id="7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0"/>
    <w:bookmarkStart w:id="7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1"/>
    <w:bookmarkStart w:id="7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2"/>
    <w:bookmarkStart w:id="7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3"/>
    <w:bookmarkStart w:id="7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4"/>
    <w:bookmarkStart w:id="7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5"/>
    <w:bookmarkStart w:id="7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6"/>
    <w:bookmarkStart w:id="7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7"/>
    <w:bookmarkStart w:id="7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8"/>
    <w:bookmarkStart w:id="7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9"/>
    <w:bookmarkStart w:id="8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0"/>
    <w:bookmarkStart w:id="8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1"/>
    <w:bookmarkStart w:id="8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2"/>
    <w:bookmarkStart w:id="83"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3"/>
    <w:bookmarkStart w:id="84"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4"/>
    <w:bookmarkStart w:id="85"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5"/>
    <w:bookmarkStart w:id="86"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6"/>
    <w:bookmarkStart w:id="87"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7"/>
    <w:bookmarkStart w:id="88"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88"/>
    <w:bookmarkStart w:id="89" w:name="ref-Yang2023-qw"/>
    <w:p>
      <w:pPr>
        <w:pStyle w:val="Bibliography"/>
      </w:pPr>
      <w:r>
        <w:t xml:space="preserve">Yang, Y., Sánchez-Tójar, A., O’Dea, R.E., Noble, D.W.A.,</w:t>
      </w:r>
      <w:r>
        <w:t xml:space="preserve"> </w:t>
      </w:r>
      <w:r>
        <w:rPr>
          <w:iCs/>
          <w:i/>
        </w:rPr>
        <w:t xml:space="preserve">et al.</w:t>
      </w:r>
      <w:r>
        <w:t xml:space="preserve"> (2023). Publication bias impacts on effect size, statistical power, and magnitude (type m) and sign (type s) errors in ecology and evolutionary biology.</w:t>
      </w:r>
      <w:r>
        <w:t xml:space="preserve"> </w:t>
      </w:r>
      <w:r>
        <w:rPr>
          <w:iCs/>
          <w:i/>
        </w:rPr>
        <w:t xml:space="preserve">BMC Biology</w:t>
      </w:r>
      <w:r>
        <w:t xml:space="preserve">.</w:t>
      </w:r>
    </w:p>
    <w:bookmarkEnd w:id="89"/>
    <w:bookmarkStart w:id="90"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0"/>
    <w:bookmarkEnd w:id="91"/>
    <w:p>
      <w:pPr>
        <w:pStyle w:val="BodyText"/>
      </w:pPr>
    </w:p>
    <w:bookmarkEnd w:id="92"/>
    <w:bookmarkStart w:id="109" w:name="supplemental-results-and-figures"/>
    <w:p>
      <w:pPr>
        <w:pStyle w:val="Heading2"/>
      </w:pPr>
      <w:r>
        <w:t xml:space="preserve">Supplemental Results and Figures</w:t>
      </w:r>
    </w:p>
    <w:bookmarkStart w:id="9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figs1">
        <w:r>
          <w:rPr>
            <w:rStyle w:val="Hyperlink"/>
          </w:rPr>
          <w:t xml:space="preserve">Figure 5</w:t>
        </w:r>
      </w:hyperlink>
      <w:r>
        <w:t xml:space="preserve">).</w:t>
      </w:r>
      <w:r>
        <w:t xml:space="preserve"> </w:t>
      </w:r>
      <w:hyperlink w:anchor="tbl-tabs1">
        <w:r>
          <w:rPr>
            <w:rStyle w:val="Hyperlink"/>
          </w:rPr>
          <w:t xml:space="preserve">Table 1</w:t>
        </w:r>
      </w:hyperlink>
    </w:p>
    <w:tbl>
      <w:tblPr>
        <w:tblStyle w:val="Table"/>
        <w:tblW w:type="pct" w:w="5000"/>
        <w:tblLook w:firstRow="0" w:lastRow="0" w:firstColumn="0" w:lastColumn="0" w:noHBand="0" w:noVBand="0" w:val="0000"/>
      </w:tblPr>
      <w:tblGrid>
        <w:gridCol w:w="7920"/>
      </w:tblGrid>
      <w:tr>
        <w:tc>
          <w:tcPr/>
          <w:bookmarkStart w:id="96" w:name="fig-figs1"/>
          <w:p>
            <w:pPr>
              <w:pStyle w:val="Figure"/>
              <w:jc w:val="center"/>
            </w:pPr>
            <w:r>
              <w:drawing>
                <wp:inline>
                  <wp:extent cx="6680200" cy="4647095"/>
                  <wp:effectExtent b="0" l="0" r="0" t="0"/>
                  <wp:docPr descr="" title="" id="94" name="Picture"/>
                  <a:graphic>
                    <a:graphicData uri="http://schemas.openxmlformats.org/drawingml/2006/picture">
                      <pic:pic>
                        <pic:nvPicPr>
                          <pic:cNvPr descr="ms_files/figure-docx/fig-figs1-1.png" id="95" name="Picture"/>
                          <pic:cNvPicPr>
                            <a:picLocks noChangeArrowheads="1" noChangeAspect="1"/>
                          </pic:cNvPicPr>
                        </pic:nvPicPr>
                        <pic:blipFill>
                          <a:blip r:embed="rId93"/>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6"/>
        </w:tc>
      </w:tr>
    </w:tbl>
    <w:p>
      <w:pPr>
        <w:pStyle w:val="BodyText"/>
      </w:pPr>
      <w:r>
        <w:t xml:space="preserve"> </w:t>
      </w:r>
    </w:p>
    <w:bookmarkStart w:id="97" w:name="tbl-tabs1"/>
    <w:p>
      <w:pPr>
        <w:pStyle w:val="TableCaption"/>
      </w:pPr>
      <w:r>
        <w:t xml:space="preserve">Table 1- Model estimates, standard error, and 95% credible intervals comparing changes in acute and acclimation</w:t>
      </w:r>
      <w:r>
        <w:t xml:space="preserve"> </w:t>
      </w:r>
      <m:oMath>
        <m:r>
          <m:t>l</m:t>
        </m:r>
        <m:r>
          <m:t>n</m:t>
        </m:r>
        <m:r>
          <m:t>V</m:t>
        </m:r>
        <m:sSub>
          <m:e>
            <m:r>
              <m:t>R</m:t>
            </m:r>
          </m:e>
          <m:sub>
            <m:sSub>
              <m:e>
                <m:r>
                  <m:t>Q</m:t>
                </m:r>
              </m:e>
              <m:sub>
                <m:r>
                  <m:t>10</m:t>
                </m:r>
              </m:sub>
            </m:sSub>
          </m:sub>
        </m:sSub>
      </m:oMath>
      <w:r>
        <w:t xml:space="preserve"> </w:t>
      </w:r>
      <w:r>
        <w:t xml:space="preserve">across habitat types. Models estimates are based off</w:t>
      </w:r>
      <w:r>
        <w:t xml:space="preserve"> </w:t>
      </w:r>
      <w:r>
        <w:rPr>
          <w:rStyle w:val="VerbatimChar"/>
        </w:rPr>
        <w:t xml:space="preserve">r summary(model3.2_bayes)$nobs</w:t>
      </w:r>
      <w:r>
        <w:t xml:space="preserve"> </w:t>
      </w:r>
      <w:r>
        <w:t xml:space="preserve">effect sizes from</w:t>
      </w:r>
      <w:r>
        <w:t xml:space="preserve"> </w:t>
      </w:r>
      <w:r>
        <w:rPr>
          <w:rStyle w:val="VerbatimChar"/>
        </w:rPr>
        <w:t xml:space="preserve">r summary(model3.2_bayes)$ngrps$record_num</w:t>
      </w:r>
      <w:r>
        <w:t xml:space="preserve"> </w:t>
      </w:r>
      <w:r>
        <w:t xml:space="preserve">studies.</w:t>
      </w:r>
    </w:p>
    <w:tbl>
      <w:tblPr>
        <w:tblStyle w:val="Table"/>
        <w:tblW w:type="auto" w:w="0"/>
        <w:tblLook w:firstRow="1" w:lastRow="0" w:firstColumn="0" w:lastColumn="0" w:noHBand="0" w:noVBand="0" w:val="0020"/>
        <w:tblCaption w:val="Table 1- Model estimates, standard error, and 95% credible intervals comparing changes in acute and acclimation lnVR_{Q_{10}} across habitat types. Models estimates are based off r summary(model3.2_bayes)$nobs effect sizes from r summary(model3.2_bayes)$ngrps$record_num studies."/>
      </w:tblPr>
      <w:tblGrid>
        <w:gridCol w:w="1584"/>
        <w:gridCol w:w="1584"/>
        <w:gridCol w:w="1584"/>
        <w:gridCol w:w="1584"/>
        <w:gridCol w:w="1584"/>
      </w:tblGrid>
      <w:tr>
        <w:trPr>
          <w:tblHeader w:val="true"/>
        </w:trPr>
        <w:tc>
          <w:tcPr/>
          <w:p>
            <w:pPr>
              <w:pStyle w:val="Compact"/>
              <w:jc w:val="left"/>
            </w:pPr>
            <w:r>
              <w:t xml:space="preserve">Parameter</w:t>
            </w:r>
          </w:p>
        </w:tc>
        <w:tc>
          <w:tcPr/>
          <w:p>
            <w:pPr>
              <w:pStyle w:val="Compact"/>
              <w:jc w:val="left"/>
            </w:pPr>
            <w:r>
              <w:t xml:space="preserve">Estimate</w:t>
            </w:r>
          </w:p>
        </w:tc>
        <w:tc>
          <w:tcPr/>
          <w:p>
            <w:pPr>
              <w:pStyle w:val="Compact"/>
              <w:jc w:val="left"/>
            </w:pPr>
            <w:r>
              <w:t xml:space="preserve">Est.Error</w:t>
            </w:r>
          </w:p>
        </w:tc>
        <w:tc>
          <w:tcPr/>
          <w:p>
            <w:pPr>
              <w:pStyle w:val="Compact"/>
              <w:jc w:val="left"/>
            </w:pPr>
            <w:r>
              <w:t xml:space="preserve">l-95% CI</w:t>
            </w:r>
          </w:p>
        </w:tc>
        <w:tc>
          <w:tcPr/>
          <w:p>
            <w:pPr>
              <w:pStyle w:val="Compact"/>
              <w:jc w:val="left"/>
            </w:pPr>
            <w:r>
              <w:t xml:space="preserve">u-95% CI</w:t>
            </w:r>
          </w:p>
        </w:tc>
      </w:tr>
      <w:tr>
        <w:tc>
          <w:tcPr/>
          <w:p>
            <w:pPr>
              <w:pStyle w:val="Compact"/>
              <w:jc w:val="left"/>
            </w:pPr>
            <w:r>
              <w:t xml:space="preserve">Random Effects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record_num</w:t>
            </w:r>
          </w:p>
        </w:tc>
        <w:tc>
          <w:tcPr/>
          <w:p>
            <w:pPr>
              <w:pStyle w:val="Compact"/>
              <w:jc w:val="left"/>
            </w:pPr>
            <w:r>
              <w:t xml:space="preserve">0.26</w:t>
            </w:r>
          </w:p>
        </w:tc>
        <w:tc>
          <w:tcPr/>
          <w:p>
            <w:pPr>
              <w:pStyle w:val="Compact"/>
              <w:jc w:val="left"/>
            </w:pPr>
            <w:r>
              <w:t xml:space="preserve">0.03</w:t>
            </w:r>
          </w:p>
        </w:tc>
        <w:tc>
          <w:tcPr/>
          <w:p>
            <w:pPr>
              <w:pStyle w:val="Compact"/>
              <w:jc w:val="left"/>
            </w:pPr>
            <w:r>
              <w:t xml:space="preserve">0.21</w:t>
            </w:r>
          </w:p>
        </w:tc>
        <w:tc>
          <w:tcPr/>
          <w:p>
            <w:pPr>
              <w:pStyle w:val="Compact"/>
              <w:jc w:val="left"/>
            </w:pPr>
            <w:r>
              <w:t xml:space="preserve">0.32</w:t>
            </w:r>
          </w:p>
        </w:tc>
      </w:tr>
      <w:tr>
        <w:tc>
          <w:tcPr/>
          <w:p>
            <w:pPr>
              <w:pStyle w:val="Compact"/>
              <w:jc w:val="left"/>
            </w:pPr>
            <w:r>
              <w:t xml:space="preserve">species_full</w:t>
            </w:r>
          </w:p>
        </w:tc>
        <w:tc>
          <w:tcPr/>
          <w:p>
            <w:pPr>
              <w:pStyle w:val="Compact"/>
              <w:jc w:val="left"/>
            </w:pPr>
            <w:r>
              <w:t xml:space="preserve">0.06</w:t>
            </w:r>
          </w:p>
        </w:tc>
        <w:tc>
          <w:tcPr/>
          <w:p>
            <w:pPr>
              <w:pStyle w:val="Compact"/>
              <w:jc w:val="left"/>
            </w:pPr>
            <w:r>
              <w:t xml:space="preserve">0.05</w:t>
            </w:r>
          </w:p>
        </w:tc>
        <w:tc>
          <w:tcPr/>
          <w:p>
            <w:pPr>
              <w:pStyle w:val="Compact"/>
              <w:jc w:val="left"/>
            </w:pPr>
            <w:r>
              <w:t xml:space="preserve">0.00</w:t>
            </w:r>
          </w:p>
        </w:tc>
        <w:tc>
          <w:tcPr/>
          <w:p>
            <w:pPr>
              <w:pStyle w:val="Compact"/>
              <w:jc w:val="left"/>
            </w:pPr>
            <w:r>
              <w:t xml:space="preserve">0.19</w:t>
            </w:r>
          </w:p>
        </w:tc>
      </w:tr>
      <w:tr>
        <w:tc>
          <w:tcPr/>
          <w:p>
            <w:pPr>
              <w:pStyle w:val="Compact"/>
              <w:jc w:val="left"/>
            </w:pPr>
            <w:r>
              <w:t xml:space="preserve">spp</w:t>
            </w:r>
          </w:p>
        </w:tc>
        <w:tc>
          <w:tcPr/>
          <w:p>
            <w:pPr>
              <w:pStyle w:val="Compact"/>
              <w:jc w:val="left"/>
            </w:pPr>
            <w:r>
              <w:t xml:space="preserve">0.07</w:t>
            </w:r>
          </w:p>
        </w:tc>
        <w:tc>
          <w:tcPr/>
          <w:p>
            <w:pPr>
              <w:pStyle w:val="Compact"/>
              <w:jc w:val="left"/>
            </w:pPr>
            <w:r>
              <w:t xml:space="preserve">0.04</w:t>
            </w:r>
          </w:p>
        </w:tc>
        <w:tc>
          <w:tcPr/>
          <w:p>
            <w:pPr>
              <w:pStyle w:val="Compact"/>
              <w:jc w:val="left"/>
            </w:pPr>
            <w:r>
              <w:t xml:space="preserve">0.00</w:t>
            </w:r>
          </w:p>
        </w:tc>
        <w:tc>
          <w:tcPr/>
          <w:p>
            <w:pPr>
              <w:pStyle w:val="Compact"/>
              <w:jc w:val="left"/>
            </w:pPr>
            <w:r>
              <w:t xml:space="preserve">0.15</w:t>
            </w:r>
          </w:p>
        </w:tc>
      </w:tr>
      <w:tr>
        <w:tc>
          <w:tcPr/>
          <w:p>
            <w:pPr>
              <w:pStyle w:val="Compact"/>
              <w:jc w:val="left"/>
            </w:pPr>
            <w:r>
              <w:t xml:space="preserve">trait</w:t>
            </w:r>
          </w:p>
        </w:tc>
        <w:tc>
          <w:tcPr/>
          <w:p>
            <w:pPr>
              <w:pStyle w:val="Compact"/>
              <w:jc w:val="left"/>
            </w:pPr>
            <w:r>
              <w:t xml:space="preserve">0.25</w:t>
            </w:r>
          </w:p>
        </w:tc>
        <w:tc>
          <w:tcPr/>
          <w:p>
            <w:pPr>
              <w:pStyle w:val="Compact"/>
              <w:jc w:val="left"/>
            </w:pPr>
            <w:r>
              <w:t xml:space="preserve">0.03</w:t>
            </w:r>
          </w:p>
        </w:tc>
        <w:tc>
          <w:tcPr/>
          <w:p>
            <w:pPr>
              <w:pStyle w:val="Compact"/>
              <w:jc w:val="left"/>
            </w:pPr>
            <w:r>
              <w:t xml:space="preserve">0.19</w:t>
            </w:r>
          </w:p>
        </w:tc>
        <w:tc>
          <w:tcPr/>
          <w:p>
            <w:pPr>
              <w:pStyle w:val="Compact"/>
              <w:jc w:val="left"/>
            </w:pPr>
            <w:r>
              <w:t xml:space="preserve">0.31</w:t>
            </w:r>
          </w:p>
        </w:tc>
      </w:tr>
      <w:tr>
        <w:tc>
          <w:tcPr/>
          <w:p>
            <w:pPr>
              <w:pStyle w:val="Compact"/>
              <w:jc w:val="left"/>
            </w:pPr>
            <w:r>
              <w:t xml:space="preserve">Fixed Effects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Intercept</w:t>
            </w:r>
          </w:p>
        </w:tc>
        <w:tc>
          <w:tcPr/>
          <w:p>
            <w:pPr>
              <w:pStyle w:val="Compact"/>
              <w:jc w:val="left"/>
            </w:pPr>
            <w:r>
              <w:t xml:space="preserve">0.58</w:t>
            </w:r>
          </w:p>
        </w:tc>
        <w:tc>
          <w:tcPr/>
          <w:p>
            <w:pPr>
              <w:pStyle w:val="Compact"/>
              <w:jc w:val="left"/>
            </w:pPr>
            <w:r>
              <w:t xml:space="preserve">0.07</w:t>
            </w:r>
          </w:p>
        </w:tc>
        <w:tc>
          <w:tcPr/>
          <w:p>
            <w:pPr>
              <w:pStyle w:val="Compact"/>
              <w:jc w:val="left"/>
            </w:pPr>
            <w:r>
              <w:t xml:space="preserve">0.43</w:t>
            </w:r>
          </w:p>
        </w:tc>
        <w:tc>
          <w:tcPr/>
          <w:p>
            <w:pPr>
              <w:pStyle w:val="Compact"/>
              <w:jc w:val="left"/>
            </w:pPr>
            <w:r>
              <w:t xml:space="preserve">0.73</w:t>
            </w:r>
          </w:p>
        </w:tc>
      </w:tr>
      <w:tr>
        <w:tc>
          <w:tcPr/>
          <w:p>
            <w:pPr>
              <w:pStyle w:val="Compact"/>
              <w:jc w:val="left"/>
            </w:pPr>
            <w:r>
              <w:t xml:space="preserve">c_accl_time</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r>
      <w:tr>
        <w:tc>
          <w:tcPr/>
          <w:p>
            <w:pPr>
              <w:pStyle w:val="Compact"/>
              <w:jc w:val="left"/>
            </w:pPr>
            <w:r>
              <w:t xml:space="preserve">typeacclim</w:t>
            </w:r>
          </w:p>
        </w:tc>
        <w:tc>
          <w:tcPr/>
          <w:p>
            <w:pPr>
              <w:pStyle w:val="Compact"/>
              <w:jc w:val="left"/>
            </w:pPr>
            <w:r>
              <w:t xml:space="preserve">−0.09</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−0.03</w:t>
            </w:r>
          </w:p>
        </w:tc>
      </w:tr>
      <w:tr>
        <w:tc>
          <w:tcPr/>
          <w:p>
            <w:pPr>
              <w:pStyle w:val="Compact"/>
              <w:jc w:val="left"/>
            </w:pPr>
            <w:r>
              <w:t xml:space="preserve">habitatm</w:t>
            </w:r>
          </w:p>
        </w:tc>
        <w:tc>
          <w:tcPr/>
          <w:p>
            <w:pPr>
              <w:pStyle w:val="Compact"/>
              <w:jc w:val="left"/>
            </w:pPr>
            <w:r>
              <w:t xml:space="preserve">−0.02</w:t>
            </w:r>
          </w:p>
        </w:tc>
        <w:tc>
          <w:tcPr/>
          <w:p>
            <w:pPr>
              <w:pStyle w:val="Compact"/>
              <w:jc w:val="left"/>
            </w:pPr>
            <w:r>
              <w:t xml:space="preserve">0.07</w:t>
            </w:r>
          </w:p>
        </w:tc>
        <w:tc>
          <w:tcPr/>
          <w:p>
            <w:pPr>
              <w:pStyle w:val="Compact"/>
              <w:jc w:val="left"/>
            </w:pPr>
            <w:r>
              <w:t xml:space="preserve">−0.16</w:t>
            </w:r>
          </w:p>
        </w:tc>
        <w:tc>
          <w:tcPr/>
          <w:p>
            <w:pPr>
              <w:pStyle w:val="Compact"/>
              <w:jc w:val="left"/>
            </w:pPr>
            <w:r>
              <w:t xml:space="preserve">0.12</w:t>
            </w:r>
          </w:p>
        </w:tc>
      </w:tr>
      <w:tr>
        <w:tc>
          <w:tcPr/>
          <w:p>
            <w:pPr>
              <w:pStyle w:val="Compact"/>
              <w:jc w:val="left"/>
            </w:pPr>
            <w:r>
              <w:t xml:space="preserve">habitatt</w:t>
            </w:r>
          </w:p>
        </w:tc>
        <w:tc>
          <w:tcPr/>
          <w:p>
            <w:pPr>
              <w:pStyle w:val="Compact"/>
              <w:jc w:val="left"/>
            </w:pPr>
            <w:r>
              <w:t xml:space="preserve">0.02</w:t>
            </w:r>
          </w:p>
        </w:tc>
        <w:tc>
          <w:tcPr/>
          <w:p>
            <w:pPr>
              <w:pStyle w:val="Compact"/>
              <w:jc w:val="left"/>
            </w:pPr>
            <w:r>
              <w:t xml:space="preserve">0.07</w:t>
            </w:r>
          </w:p>
        </w:tc>
        <w:tc>
          <w:tcPr/>
          <w:p>
            <w:pPr>
              <w:pStyle w:val="Compact"/>
              <w:jc w:val="left"/>
            </w:pPr>
            <w:r>
              <w:t xml:space="preserve">−0.12</w:t>
            </w:r>
          </w:p>
        </w:tc>
        <w:tc>
          <w:tcPr/>
          <w:p>
            <w:pPr>
              <w:pStyle w:val="Compact"/>
              <w:jc w:val="left"/>
            </w:pPr>
            <w:r>
              <w:t xml:space="preserve">0.16</w:t>
            </w:r>
          </w:p>
        </w:tc>
      </w:tr>
      <w:tr>
        <w:tc>
          <w:tcPr/>
          <w:p>
            <w:pPr>
              <w:pStyle w:val="Compact"/>
              <w:jc w:val="left"/>
            </w:pPr>
            <w:r>
              <w:t xml:space="preserve">typeacclim:habitatm</w:t>
            </w:r>
          </w:p>
        </w:tc>
        <w:tc>
          <w:tcPr/>
          <w:p>
            <w:pPr>
              <w:pStyle w:val="Compact"/>
              <w:jc w:val="left"/>
            </w:pPr>
            <w:r>
              <w:t xml:space="preserve">−0.02</w:t>
            </w:r>
          </w:p>
        </w:tc>
        <w:tc>
          <w:tcPr/>
          <w:p>
            <w:pPr>
              <w:pStyle w:val="Compact"/>
              <w:jc w:val="left"/>
            </w:pPr>
            <w:r>
              <w:t xml:space="preserve">0.05</w:t>
            </w:r>
          </w:p>
        </w:tc>
        <w:tc>
          <w:tcPr/>
          <w:p>
            <w:pPr>
              <w:pStyle w:val="Compact"/>
              <w:jc w:val="left"/>
            </w:pPr>
            <w:r>
              <w:t xml:space="preserve">−0.11</w:t>
            </w:r>
          </w:p>
        </w:tc>
        <w:tc>
          <w:tcPr/>
          <w:p>
            <w:pPr>
              <w:pStyle w:val="Compact"/>
              <w:jc w:val="left"/>
            </w:pPr>
            <w:r>
              <w:t xml:space="preserve">0.08</w:t>
            </w:r>
          </w:p>
        </w:tc>
      </w:tr>
      <w:tr>
        <w:tc>
          <w:tcPr/>
          <w:p>
            <w:pPr>
              <w:pStyle w:val="Compact"/>
              <w:jc w:val="left"/>
            </w:pPr>
            <w:r>
              <w:t xml:space="preserve">typeacclim:habitatt</w:t>
            </w:r>
          </w:p>
        </w:tc>
        <w:tc>
          <w:tcPr/>
          <w:p>
            <w:pPr>
              <w:pStyle w:val="Compact"/>
              <w:jc w:val="left"/>
            </w:pPr>
            <w:r>
              <w:t xml:space="preserve">0.10</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0.20</w:t>
            </w:r>
          </w:p>
        </w:tc>
      </w:tr>
    </w:tbl>
    <w:bookmarkEnd w:id="97"/>
    <w:bookmarkEnd w:id="98"/>
    <w:bookmarkStart w:id="10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2" w:name="fig-figs3"/>
          <w:p>
            <w:pPr>
              <w:pStyle w:val="Figure"/>
              <w:jc w:val="center"/>
            </w:pPr>
            <w:r>
              <w:drawing>
                <wp:inline>
                  <wp:extent cx="6680200" cy="2379821"/>
                  <wp:effectExtent b="0" l="0" r="0" t="0"/>
                  <wp:docPr descr="" title="" id="100" name="Picture"/>
                  <a:graphic>
                    <a:graphicData uri="http://schemas.openxmlformats.org/drawingml/2006/picture">
                      <pic:pic>
                        <pic:nvPicPr>
                          <pic:cNvPr descr="ms_files/figure-docx/fig-figs3-1.png" id="101" name="Picture"/>
                          <pic:cNvPicPr>
                            <a:picLocks noChangeArrowheads="1" noChangeAspect="1"/>
                          </pic:cNvPicPr>
                        </pic:nvPicPr>
                        <pic:blipFill>
                          <a:blip r:embed="rId9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102"/>
        </w:tc>
      </w:tr>
    </w:tbl>
    <w:bookmarkEnd w:id="103"/>
    <w:bookmarkStart w:id="10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figs2">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107" w:name="fig-figs2"/>
          <w:p>
            <w:pPr>
              <w:pStyle w:val="Figure"/>
              <w:jc w:val="center"/>
            </w:pPr>
            <w:r>
              <w:drawing>
                <wp:inline>
                  <wp:extent cx="6680200" cy="2788257"/>
                  <wp:effectExtent b="0" l="0" r="0" t="0"/>
                  <wp:docPr descr="" title="" id="105" name="Picture"/>
                  <a:graphic>
                    <a:graphicData uri="http://schemas.openxmlformats.org/drawingml/2006/picture">
                      <pic:pic>
                        <pic:nvPicPr>
                          <pic:cNvPr descr="ms_files/figure-docx/fig-figs2-1.png" id="106" name="Picture"/>
                          <pic:cNvPicPr>
                            <a:picLocks noChangeArrowheads="1" noChangeAspect="1"/>
                          </pic:cNvPicPr>
                        </pic:nvPicPr>
                        <pic:blipFill>
                          <a:blip r:embed="rId10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07"/>
        </w:tc>
      </w:tr>
    </w:tbl>
    <w:bookmarkEnd w:id="108"/>
    <w:bookmarkEnd w:id="109"/>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93" Target="media/rId93.png" /><Relationship Type="http://schemas.openxmlformats.org/officeDocument/2006/relationships/image" Id="rId104" Target="media/rId104.png" /><Relationship Type="http://schemas.openxmlformats.org/officeDocument/2006/relationships/image" Id="rId99" Target="media/rId9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2023-03-24T22:50:21Z</dcterms:created>
  <dcterms:modified xsi:type="dcterms:W3CDTF">2023-03-24T22:50:21Z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